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0" w:firstLine="0"/>
        <w:rPr>
          <w:rFonts w:ascii="Times New Roman"/>
          <w:sz w:val="20"/>
        </w:rPr>
      </w:pPr>
    </w:p>
    <w:p>
      <w:pPr>
        <w:tabs>
          <w:tab w:pos="3960" w:val="left" w:leader="none"/>
        </w:tabs>
        <w:spacing w:before="1"/>
        <w:ind w:left="360" w:right="0" w:firstLine="0"/>
        <w:jc w:val="both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Revision:</w:t>
      </w:r>
      <w:r>
        <w:rPr>
          <w:b/>
          <w:sz w:val="20"/>
        </w:rPr>
        <w:tab/>
      </w:r>
      <w:r>
        <w:rPr>
          <w:sz w:val="20"/>
        </w:rPr>
        <w:t>January</w:t>
      </w:r>
      <w:r>
        <w:rPr>
          <w:spacing w:val="-7"/>
          <w:sz w:val="20"/>
        </w:rPr>
        <w:t> </w:t>
      </w:r>
      <w:r>
        <w:rPr>
          <w:sz w:val="20"/>
        </w:rPr>
        <w:t>9,</w:t>
      </w:r>
      <w:r>
        <w:rPr>
          <w:spacing w:val="-4"/>
          <w:sz w:val="20"/>
        </w:rPr>
        <w:t> 2009</w:t>
      </w:r>
    </w:p>
    <w:p>
      <w:pPr>
        <w:pStyle w:val="BodyText"/>
        <w:spacing w:before="5" w:after="1"/>
        <w:ind w:left="0" w:firstLine="0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890"/>
        <w:gridCol w:w="5311"/>
      </w:tblGrid>
      <w:tr>
        <w:trPr>
          <w:trHeight w:val="549" w:hRule="atLeast"/>
        </w:trPr>
        <w:tc>
          <w:tcPr>
            <w:tcW w:w="1267" w:type="dxa"/>
            <w:tcBorders>
              <w:right w:val="nil"/>
            </w:tcBorders>
          </w:tcPr>
          <w:p>
            <w:pPr>
              <w:pStyle w:val="TableParagraph"/>
              <w:spacing w:before="155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Contact:</w:t>
            </w:r>
          </w:p>
        </w:tc>
        <w:tc>
          <w:tcPr>
            <w:tcW w:w="289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4" w:lineRule="auto"/>
              <w:ind w:left="194" w:right="125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Director </w:t>
            </w:r>
            <w:r>
              <w:rPr>
                <w:spacing w:val="-2"/>
                <w:sz w:val="20"/>
              </w:rPr>
              <w:t>310-679-9126</w:t>
            </w:r>
          </w:p>
        </w:tc>
        <w:tc>
          <w:tcPr>
            <w:tcW w:w="5311" w:type="dxa"/>
            <w:tcBorders>
              <w:left w:val="nil"/>
            </w:tcBorders>
          </w:tcPr>
          <w:p>
            <w:pPr>
              <w:pStyle w:val="TableParagraph"/>
              <w:ind w:left="1265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</w:tr>
    </w:tbl>
    <w:p>
      <w:pPr>
        <w:pStyle w:val="BodyText"/>
        <w:spacing w:before="41"/>
        <w:ind w:left="0" w:firstLine="0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1893"/>
        <w:gridCol w:w="1702"/>
        <w:gridCol w:w="2459"/>
        <w:gridCol w:w="2095"/>
      </w:tblGrid>
      <w:tr>
        <w:trPr>
          <w:trHeight w:val="779" w:hRule="atLeast"/>
        </w:trPr>
        <w:tc>
          <w:tcPr>
            <w:tcW w:w="1321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Applies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18" w:after="0"/>
              <w:ind w:left="427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Officers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22" w:after="0"/>
              <w:ind w:left="427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6" w:val="left" w:leader="none"/>
              </w:tabs>
              <w:spacing w:line="240" w:lineRule="auto" w:before="18" w:after="0"/>
              <w:ind w:left="606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Staff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1" w:val="left" w:leader="none"/>
              </w:tabs>
              <w:spacing w:line="240" w:lineRule="auto" w:before="22" w:after="0"/>
              <w:ind w:left="551" w:right="0" w:hanging="2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Visitors</w:t>
            </w:r>
          </w:p>
        </w:tc>
        <w:tc>
          <w:tcPr>
            <w:tcW w:w="2459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18" w:after="0"/>
              <w:ind w:left="793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clinicians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22" w:after="0"/>
              <w:ind w:left="793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Contractors</w:t>
            </w:r>
          </w:p>
        </w:tc>
        <w:tc>
          <w:tcPr>
            <w:tcW w:w="2095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06" w:val="left" w:leader="none"/>
              </w:tabs>
              <w:spacing w:line="240" w:lineRule="auto" w:before="18" w:after="0"/>
              <w:ind w:left="406" w:right="0" w:hanging="2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Volunteers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6" w:val="left" w:leader="none"/>
              </w:tabs>
              <w:spacing w:line="240" w:lineRule="auto" w:before="20" w:after="0"/>
              <w:ind w:left="118" w:right="136" w:firstLine="0"/>
              <w:jc w:val="left"/>
              <w:rPr>
                <w:sz w:val="20"/>
              </w:rPr>
            </w:pPr>
            <w:r>
              <w:rPr>
                <w:sz w:val="20"/>
              </w:rPr>
              <w:t>Subcontractors / Business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Associates</w:t>
            </w:r>
          </w:p>
        </w:tc>
      </w:tr>
    </w:tbl>
    <w:p>
      <w:pPr>
        <w:pStyle w:val="BodyText"/>
        <w:spacing w:before="126"/>
        <w:ind w:left="0" w:firstLine="0"/>
        <w:rPr>
          <w:sz w:val="20"/>
        </w:rPr>
      </w:pPr>
    </w:p>
    <w:p>
      <w:pPr>
        <w:pStyle w:val="Heading1"/>
        <w:rPr>
          <w:u w:val="none"/>
        </w:rPr>
      </w:pPr>
      <w:r>
        <w:rPr>
          <w:spacing w:val="-2"/>
          <w:u w:val="none"/>
        </w:rPr>
        <w:t>PURPOSE:</w:t>
      </w:r>
    </w:p>
    <w:p>
      <w:pPr>
        <w:pStyle w:val="BodyText"/>
        <w:ind w:left="360" w:right="394" w:firstLine="0"/>
        <w:jc w:val="both"/>
      </w:pP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 this</w:t>
      </w:r>
      <w:r>
        <w:rPr>
          <w:spacing w:val="-4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outline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establishment,</w:t>
      </w:r>
      <w:r>
        <w:rPr>
          <w:spacing w:val="-3"/>
        </w:rPr>
        <w:t> </w:t>
      </w:r>
      <w:r>
        <w:rPr/>
        <w:t>role</w:t>
      </w:r>
      <w:r>
        <w:rPr>
          <w:spacing w:val="-2"/>
        </w:rPr>
        <w:t> </w:t>
      </w:r>
      <w:r>
        <w:rPr/>
        <w:t>and responsibility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Therapeutics</w:t>
      </w:r>
      <w:r>
        <w:rPr>
          <w:spacing w:val="-3"/>
        </w:rPr>
        <w:t> </w:t>
      </w:r>
      <w:r>
        <w:rPr/>
        <w:t>Committee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Detoxification Units of BHS’s Chemical Dependency Recovery Hospitals.</w:t>
      </w:r>
    </w:p>
    <w:p>
      <w:pPr>
        <w:pStyle w:val="Heading1"/>
        <w:spacing w:before="238"/>
        <w:rPr>
          <w:u w:val="none"/>
        </w:rPr>
      </w:pPr>
      <w:r>
        <w:rPr>
          <w:spacing w:val="-2"/>
          <w:u w:val="none"/>
        </w:rPr>
        <w:t>POLICY:</w:t>
      </w:r>
    </w:p>
    <w:p>
      <w:pPr>
        <w:pStyle w:val="BodyText"/>
        <w:ind w:left="360" w:right="75" w:firstLine="0"/>
      </w:pPr>
      <w:r>
        <w:rPr/>
        <w:t>Each Chemical Dependency Recovery Hospital shall maintain a Pharmacy and Therapeutics Committee,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act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facility</w:t>
      </w:r>
      <w:r>
        <w:rPr>
          <w:spacing w:val="-4"/>
        </w:rPr>
        <w:t> </w:t>
      </w:r>
      <w:r>
        <w:rPr/>
        <w:t>administration,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staff and the Board of Directors concerning all aspects of medication management.</w:t>
      </w:r>
    </w:p>
    <w:p>
      <w:pPr>
        <w:pStyle w:val="BodyText"/>
        <w:ind w:left="360" w:right="459" w:firstLine="0"/>
      </w:pPr>
      <w:r>
        <w:rPr/>
        <w:t>The Committee shall consist of at least the Medical Director or Alternate Physician, the Consultant Pharmacist, the Director of Nursing (DON) and an administrative representative. The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or</w:t>
      </w:r>
      <w:r>
        <w:rPr>
          <w:spacing w:val="-6"/>
        </w:rPr>
        <w:t> </w:t>
      </w:r>
      <w:r>
        <w:rPr/>
        <w:t>Alternate</w:t>
      </w:r>
      <w:r>
        <w:rPr>
          <w:spacing w:val="-4"/>
        </w:rPr>
        <w:t> </w:t>
      </w:r>
      <w:r>
        <w:rPr/>
        <w:t>Physician</w:t>
      </w:r>
      <w:r>
        <w:rPr>
          <w:spacing w:val="-3"/>
        </w:rPr>
        <w:t> </w:t>
      </w:r>
      <w:r>
        <w:rPr/>
        <w:t>shall</w:t>
      </w:r>
      <w:r>
        <w:rPr>
          <w:spacing w:val="-1"/>
        </w:rPr>
        <w:t> </w:t>
      </w:r>
      <w:r>
        <w:rPr/>
        <w:t>serve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Chairperson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Pharmacy</w:t>
      </w:r>
      <w:r>
        <w:rPr>
          <w:spacing w:val="-4"/>
        </w:rPr>
        <w:t> </w:t>
      </w:r>
      <w:r>
        <w:rPr/>
        <w:t>and Therapeutics Committee.</w:t>
      </w:r>
    </w:p>
    <w:p>
      <w:pPr>
        <w:pStyle w:val="BodyText"/>
        <w:spacing w:before="103"/>
        <w:ind w:left="0" w:firstLine="0"/>
      </w:pPr>
    </w:p>
    <w:p>
      <w:pPr>
        <w:pStyle w:val="Heading1"/>
        <w:rPr>
          <w:u w:val="none"/>
        </w:rPr>
      </w:pPr>
      <w:r>
        <w:rPr>
          <w:spacing w:val="-2"/>
          <w:u w:val="none"/>
        </w:rPr>
        <w:t>PROCEDURES:</w:t>
      </w:r>
    </w:p>
    <w:p>
      <w:pPr>
        <w:pStyle w:val="BodyText"/>
        <w:ind w:left="360" w:firstLine="0"/>
      </w:pPr>
      <w:r>
        <w:rPr/>
        <w:t>The</w:t>
      </w:r>
      <w:r>
        <w:rPr>
          <w:spacing w:val="-8"/>
        </w:rPr>
        <w:t> </w:t>
      </w:r>
      <w:r>
        <w:rPr/>
        <w:t>Pharmacy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Therapeutics</w:t>
      </w:r>
      <w:r>
        <w:rPr>
          <w:spacing w:val="-5"/>
        </w:rPr>
        <w:t> </w:t>
      </w:r>
      <w:r>
        <w:rPr/>
        <w:t>Committee</w:t>
      </w:r>
      <w:r>
        <w:rPr>
          <w:spacing w:val="-7"/>
        </w:rPr>
        <w:t> </w:t>
      </w:r>
      <w:r>
        <w:rPr>
          <w:spacing w:val="-2"/>
        </w:rPr>
        <w:t>shall: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481" w:hanging="360"/>
        <w:jc w:val="left"/>
        <w:rPr>
          <w:sz w:val="22"/>
        </w:rPr>
      </w:pP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6"/>
          <w:sz w:val="22"/>
        </w:rPr>
        <w:t> </w:t>
      </w:r>
      <w:r>
        <w:rPr>
          <w:sz w:val="22"/>
        </w:rPr>
        <w:t>quarterly.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permanent</w:t>
      </w:r>
      <w:r>
        <w:rPr>
          <w:spacing w:val="-4"/>
          <w:sz w:val="22"/>
        </w:rPr>
        <w:t> </w:t>
      </w:r>
      <w:r>
        <w:rPr>
          <w:sz w:val="22"/>
        </w:rPr>
        <w:t>record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maintained.</w:t>
      </w:r>
      <w:r>
        <w:rPr>
          <w:spacing w:val="40"/>
          <w:sz w:val="22"/>
        </w:rPr>
        <w:t> </w:t>
      </w:r>
      <w:r>
        <w:rPr>
          <w:sz w:val="22"/>
        </w:rPr>
        <w:t>Smaller subcommittees may meet ad hoc to review specific issues and make recommendations to the full committee.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883" w:hanging="360"/>
        <w:jc w:val="left"/>
        <w:rPr>
          <w:sz w:val="22"/>
        </w:rPr>
      </w:pPr>
      <w:r>
        <w:rPr>
          <w:sz w:val="22"/>
        </w:rPr>
        <w:t>Assist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formulation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facility</w:t>
      </w:r>
      <w:r>
        <w:rPr>
          <w:spacing w:val="-5"/>
          <w:sz w:val="22"/>
        </w:rPr>
        <w:t> </w:t>
      </w:r>
      <w:r>
        <w:rPr>
          <w:sz w:val="22"/>
        </w:rPr>
        <w:t>policies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procedures</w:t>
      </w:r>
      <w:r>
        <w:rPr>
          <w:spacing w:val="-3"/>
          <w:sz w:val="22"/>
        </w:rPr>
        <w:t> </w:t>
      </w:r>
      <w:r>
        <w:rPr>
          <w:sz w:val="22"/>
        </w:rPr>
        <w:t>regarding medication management.</w:t>
      </w:r>
      <w:r>
        <w:rPr>
          <w:spacing w:val="40"/>
          <w:sz w:val="22"/>
        </w:rPr>
        <w:t> </w:t>
      </w:r>
      <w:r>
        <w:rPr>
          <w:sz w:val="22"/>
        </w:rPr>
        <w:t>Develop and review at least annually the facility formulary. Additions and deletions shall be reviewed and approved by the committee routinely as </w:t>
      </w:r>
      <w:r>
        <w:rPr>
          <w:spacing w:val="-2"/>
          <w:sz w:val="22"/>
        </w:rPr>
        <w:t>necessary.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479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detail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reported</w:t>
      </w:r>
      <w:r>
        <w:rPr>
          <w:spacing w:val="-3"/>
          <w:sz w:val="22"/>
        </w:rPr>
        <w:t> </w:t>
      </w:r>
      <w:r>
        <w:rPr>
          <w:sz w:val="22"/>
        </w:rPr>
        <w:t>adverse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reactions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determined</w:t>
      </w:r>
      <w:r>
        <w:rPr>
          <w:spacing w:val="-3"/>
          <w:sz w:val="22"/>
        </w:rPr>
        <w:t> </w:t>
      </w:r>
      <w:r>
        <w:rPr>
          <w:sz w:val="22"/>
        </w:rPr>
        <w:t>appropriate,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to the United States Pharmacopeia.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Pharmacist’s</w:t>
      </w:r>
      <w:r>
        <w:rPr>
          <w:spacing w:val="-4"/>
          <w:sz w:val="22"/>
        </w:rPr>
        <w:t> </w:t>
      </w:r>
      <w:r>
        <w:rPr>
          <w:sz w:val="22"/>
        </w:rPr>
        <w:t>Monthly</w:t>
      </w:r>
      <w:r>
        <w:rPr>
          <w:spacing w:val="-8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quarterly</w:t>
      </w:r>
      <w:r>
        <w:rPr>
          <w:spacing w:val="-9"/>
          <w:sz w:val="22"/>
        </w:rPr>
        <w:t> </w:t>
      </w:r>
      <w:r>
        <w:rPr>
          <w:sz w:val="22"/>
        </w:rPr>
        <w:t>Quality</w:t>
      </w:r>
      <w:r>
        <w:rPr>
          <w:spacing w:val="-8"/>
          <w:sz w:val="22"/>
        </w:rPr>
        <w:t> </w:t>
      </w:r>
      <w:r>
        <w:rPr>
          <w:sz w:val="22"/>
        </w:rPr>
        <w:t>Assurance</w:t>
      </w:r>
      <w:r>
        <w:rPr>
          <w:spacing w:val="-3"/>
          <w:sz w:val="22"/>
        </w:rPr>
        <w:t> </w:t>
      </w:r>
      <w:r>
        <w:rPr>
          <w:sz w:val="22"/>
        </w:rPr>
        <w:t>(QA)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Report.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3" w:after="0"/>
        <w:ind w:left="720" w:right="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Residential</w:t>
      </w:r>
      <w:r>
        <w:rPr>
          <w:spacing w:val="-7"/>
          <w:sz w:val="22"/>
        </w:rPr>
        <w:t> </w:t>
      </w:r>
      <w:r>
        <w:rPr>
          <w:sz w:val="22"/>
        </w:rPr>
        <w:t>Unit</w:t>
      </w:r>
      <w:r>
        <w:rPr>
          <w:spacing w:val="-6"/>
          <w:sz w:val="22"/>
        </w:rPr>
        <w:t> </w:t>
      </w:r>
      <w:r>
        <w:rPr>
          <w:sz w:val="22"/>
        </w:rPr>
        <w:t>Medication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Audit.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1616" w:top="2580" w:bottom="1800" w:left="1080" w:right="1080"/>
          <w:pgNumType w:start="1"/>
        </w:sectPr>
      </w:pPr>
    </w:p>
    <w:p>
      <w:pPr>
        <w:pStyle w:val="BodyText"/>
        <w:spacing w:before="59"/>
        <w:ind w:left="0" w:firstLine="0"/>
      </w:pP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11"/>
          <w:sz w:val="22"/>
        </w:rPr>
        <w:t> </w:t>
      </w: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medication-related</w:t>
      </w:r>
      <w:r>
        <w:rPr>
          <w:spacing w:val="-9"/>
          <w:sz w:val="22"/>
        </w:rPr>
        <w:t> </w:t>
      </w:r>
      <w:r>
        <w:rPr>
          <w:sz w:val="22"/>
        </w:rPr>
        <w:t>Incident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Reports.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650" w:hanging="360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pertinent</w:t>
      </w:r>
      <w:r>
        <w:rPr>
          <w:spacing w:val="-4"/>
          <w:sz w:val="22"/>
        </w:rPr>
        <w:t> </w:t>
      </w:r>
      <w:r>
        <w:rPr>
          <w:sz w:val="22"/>
        </w:rPr>
        <w:t>audits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inspections</w:t>
      </w:r>
      <w:r>
        <w:rPr>
          <w:spacing w:val="-2"/>
          <w:sz w:val="22"/>
        </w:rPr>
        <w:t> </w:t>
      </w:r>
      <w:r>
        <w:rPr>
          <w:sz w:val="22"/>
        </w:rPr>
        <w:t>done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county,</w:t>
      </w:r>
      <w:r>
        <w:rPr>
          <w:spacing w:val="-1"/>
          <w:sz w:val="22"/>
        </w:rPr>
        <w:t> </w:t>
      </w:r>
      <w:r>
        <w:rPr>
          <w:sz w:val="22"/>
        </w:rPr>
        <w:t>state,</w:t>
      </w:r>
      <w:r>
        <w:rPr>
          <w:spacing w:val="-6"/>
          <w:sz w:val="22"/>
        </w:rPr>
        <w:t> </w:t>
      </w:r>
      <w:r>
        <w:rPr>
          <w:sz w:val="22"/>
        </w:rPr>
        <w:t>federal and/or privately contracted agencies.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z w:val="22"/>
        </w:rPr>
        <w:t>Define</w:t>
      </w:r>
      <w:r>
        <w:rPr>
          <w:spacing w:val="-7"/>
          <w:sz w:val="22"/>
        </w:rPr>
        <w:t> </w:t>
      </w:r>
      <w:r>
        <w:rPr>
          <w:sz w:val="22"/>
        </w:rPr>
        <w:t>problems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identified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stated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above.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513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quality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appropriateness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patient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monitored,</w:t>
      </w:r>
      <w:r>
        <w:rPr>
          <w:spacing w:val="-3"/>
          <w:sz w:val="22"/>
        </w:rPr>
        <w:t> </w:t>
      </w:r>
      <w:r>
        <w:rPr>
          <w:sz w:val="22"/>
        </w:rPr>
        <w:t>evaluated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reported through the following modalities:</w:t>
      </w:r>
    </w:p>
    <w:p>
      <w:pPr>
        <w:pStyle w:val="ListParagraph"/>
        <w:numPr>
          <w:ilvl w:val="1"/>
          <w:numId w:val="7"/>
        </w:numPr>
        <w:tabs>
          <w:tab w:pos="1440" w:val="left" w:leader="none"/>
        </w:tabs>
        <w:spacing w:line="230" w:lineRule="auto" w:before="128" w:after="0"/>
        <w:ind w:left="1440" w:right="553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Committee</w:t>
      </w:r>
      <w:r>
        <w:rPr>
          <w:spacing w:val="-6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establish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objective</w:t>
      </w:r>
      <w:r>
        <w:rPr>
          <w:spacing w:val="-4"/>
          <w:sz w:val="22"/>
        </w:rPr>
        <w:t> </w:t>
      </w:r>
      <w:r>
        <w:rPr>
          <w:sz w:val="22"/>
        </w:rPr>
        <w:t>criterion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reflects current</w:t>
      </w:r>
      <w:r>
        <w:rPr>
          <w:spacing w:val="-5"/>
          <w:sz w:val="22"/>
        </w:rPr>
        <w:t> </w:t>
      </w:r>
      <w:r>
        <w:rPr>
          <w:sz w:val="22"/>
        </w:rPr>
        <w:t>knowledge and clinical experience and which can be used in the evaluation and monitoring of patient care services that pertain to medication management.</w:t>
      </w:r>
    </w:p>
    <w:p>
      <w:pPr>
        <w:pStyle w:val="ListParagraph"/>
        <w:numPr>
          <w:ilvl w:val="1"/>
          <w:numId w:val="7"/>
        </w:numPr>
        <w:tabs>
          <w:tab w:pos="1440" w:val="left" w:leader="none"/>
        </w:tabs>
        <w:spacing w:line="235" w:lineRule="auto" w:before="129" w:after="0"/>
        <w:ind w:left="1440" w:right="393" w:hanging="360"/>
        <w:jc w:val="left"/>
        <w:rPr>
          <w:sz w:val="22"/>
        </w:rPr>
      </w:pPr>
      <w:r>
        <w:rPr>
          <w:sz w:val="22"/>
        </w:rPr>
        <w:t>The Pharmacy and Therapeutics Committee shall make recommendations for corrective action when problems are identified.</w:t>
      </w:r>
      <w:r>
        <w:rPr>
          <w:spacing w:val="40"/>
          <w:sz w:val="22"/>
        </w:rPr>
        <w:t> </w:t>
      </w:r>
      <w:r>
        <w:rPr>
          <w:sz w:val="22"/>
        </w:rPr>
        <w:t>All recommendations shall be documented.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effectiveness</w:t>
      </w:r>
      <w:r>
        <w:rPr>
          <w:spacing w:val="-3"/>
          <w:sz w:val="22"/>
        </w:rPr>
        <w:t> </w:t>
      </w:r>
      <w:r>
        <w:rPr>
          <w:sz w:val="22"/>
        </w:rPr>
        <w:t>of such</w:t>
      </w:r>
      <w:r>
        <w:rPr>
          <w:spacing w:val="-5"/>
          <w:sz w:val="22"/>
        </w:rPr>
        <w:t> </w:t>
      </w:r>
      <w:r>
        <w:rPr>
          <w:sz w:val="22"/>
        </w:rPr>
        <w:t>actions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monitored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evaluated</w:t>
      </w:r>
      <w:r>
        <w:rPr>
          <w:spacing w:val="-3"/>
          <w:sz w:val="22"/>
        </w:rPr>
        <w:t> </w:t>
      </w:r>
      <w:r>
        <w:rPr>
          <w:sz w:val="22"/>
        </w:rPr>
        <w:t>by the Quality Assurance Committee and the conclusions of the Quality Assurance Committees shall be reported to the staff and governing body.</w:t>
      </w:r>
    </w:p>
    <w:p>
      <w:pPr>
        <w:pStyle w:val="ListParagraph"/>
        <w:numPr>
          <w:ilvl w:val="1"/>
          <w:numId w:val="7"/>
        </w:numPr>
        <w:tabs>
          <w:tab w:pos="1440" w:val="left" w:leader="none"/>
        </w:tabs>
        <w:spacing w:line="232" w:lineRule="auto" w:before="128" w:after="0"/>
        <w:ind w:left="1440" w:right="446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Chairperson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Pharmacy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Therapeutics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-5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responsible for identifying important aspects of care to be monitored, and for ensuring that monitoring, evaluation, and problem-solving activities are carried out in a planned and systematic approach, as described and reported.</w:t>
      </w:r>
    </w:p>
    <w:p>
      <w:pPr>
        <w:pStyle w:val="ListParagraph"/>
        <w:numPr>
          <w:ilvl w:val="1"/>
          <w:numId w:val="7"/>
        </w:numPr>
        <w:tabs>
          <w:tab w:pos="1440" w:val="left" w:leader="none"/>
        </w:tabs>
        <w:spacing w:line="235" w:lineRule="auto" w:before="128" w:after="0"/>
        <w:ind w:left="1440" w:right="664" w:hanging="360"/>
        <w:jc w:val="left"/>
        <w:rPr>
          <w:sz w:val="22"/>
        </w:rPr>
      </w:pPr>
      <w:r>
        <w:rPr>
          <w:sz w:val="22"/>
        </w:rPr>
        <w:t>The effectiveness of the monitoring, evaluation, and problem-solving activities pertaining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pharmacy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appraised</w:t>
      </w:r>
      <w:r>
        <w:rPr>
          <w:spacing w:val="-3"/>
          <w:sz w:val="22"/>
        </w:rPr>
        <w:t> </w:t>
      </w:r>
      <w:r>
        <w:rPr>
          <w:sz w:val="22"/>
        </w:rPr>
        <w:t>annually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5"/>
          <w:sz w:val="22"/>
        </w:rPr>
        <w:t> </w:t>
      </w:r>
      <w:r>
        <w:rPr>
          <w:sz w:val="22"/>
        </w:rPr>
        <w:t>and Therapeutics Committee and reported to the Q.A. Committee and the governing </w:t>
      </w:r>
      <w:r>
        <w:rPr>
          <w:spacing w:val="-2"/>
          <w:sz w:val="22"/>
        </w:rPr>
        <w:t>board.</w:t>
      </w:r>
    </w:p>
    <w:sectPr>
      <w:pgSz w:w="12240" w:h="15840"/>
      <w:pgMar w:header="360" w:footer="1616" w:top="2580" w:bottom="18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896416</wp:posOffset>
              </wp:positionH>
              <wp:positionV relativeFrom="page">
                <wp:posOffset>8854135</wp:posOffset>
              </wp:positionV>
              <wp:extent cx="5981065" cy="95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9810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952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81065" y="9143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697.176025pt;width:470.95pt;height:.71997pt;mso-position-horizontal-relative:page;mso-position-vertical-relative:page;z-index:-15800832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970584</wp:posOffset>
              </wp:positionH>
              <wp:positionV relativeFrom="page">
                <wp:posOffset>8995887</wp:posOffset>
              </wp:positionV>
              <wp:extent cx="3072765" cy="1416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07276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Detoxification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CDRHs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Pharmacy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Therapeutics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Committee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08.337585pt;width:241.95pt;height:11.15pt;mso-position-horizontal-relative:page;mso-position-vertical-relative:page;z-index:-15800320" type="#_x0000_t202" id="docshape7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Detoxification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CDRHs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Pharmacy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Therapeutics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Committee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5623940</wp:posOffset>
              </wp:positionH>
              <wp:positionV relativeFrom="page">
                <wp:posOffset>8997411</wp:posOffset>
              </wp:positionV>
              <wp:extent cx="1179830" cy="3727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7983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6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#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4.5.14.4 Review Date: 1/29/2009 Approval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1/29/2009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829987pt;margin-top:708.457581pt;width:92.9pt;height:29.35pt;mso-position-horizontal-relative:page;mso-position-vertical-relative:page;z-index:-15799808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18" w:firstLine="6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#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4.5.14.4 Review Date: 1/29/2009 Approval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2"/>
                        <w:sz w:val="16"/>
                      </w:rPr>
                      <w:t> 1/29/2009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970584</wp:posOffset>
              </wp:positionH>
              <wp:positionV relativeFrom="page">
                <wp:posOffset>9114759</wp:posOffset>
              </wp:positionV>
              <wp:extent cx="659765" cy="3727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5976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0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Reviewed by: Approved by: Effective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17.697632pt;width:51.95pt;height:29.35pt;mso-position-horizontal-relative:page;mso-position-vertical-relative:page;z-index:-15799296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2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Reviewed by: Approved by: Effective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2227833</wp:posOffset>
              </wp:positionH>
              <wp:positionV relativeFrom="page">
                <wp:posOffset>9114759</wp:posOffset>
              </wp:positionV>
              <wp:extent cx="1713864" cy="3727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13864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Director,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Nursing Board of Directors</w:t>
                          </w:r>
                        </w:p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1/29/2009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419998pt;margin-top:717.697632pt;width:134.950pt;height:29.35pt;mso-position-horizontal-relative:page;mso-position-vertical-relative:page;z-index:-15798784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Director,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Directors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Nursing Board of Directors</w:t>
                    </w:r>
                  </w:p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1/29/2009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970584</wp:posOffset>
              </wp:positionH>
              <wp:positionV relativeFrom="page">
                <wp:posOffset>9465279</wp:posOffset>
              </wp:positionV>
              <wp:extent cx="2712720" cy="1397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7127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Supersedes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Policy/Date:</w:t>
                          </w:r>
                          <w:r>
                            <w:rPr>
                              <w:sz w:val="16"/>
                            </w:rPr>
                            <w:tab/>
                            <w:t>4.5.15.2.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(Number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change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only)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45.297607pt;width:213.6pt;height:11pt;mso-position-horizontal-relative:page;mso-position-vertical-relative:page;z-index:-15798272" type="#_x0000_t202" id="docshape11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Supersedes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Policy/Date:</w:t>
                    </w:r>
                    <w:r>
                      <w:rPr>
                        <w:sz w:val="16"/>
                      </w:rPr>
                      <w:tab/>
                      <w:t>4.5.15.2.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(Number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change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only)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992017</wp:posOffset>
          </wp:positionH>
          <wp:positionV relativeFrom="page">
            <wp:posOffset>228600</wp:posOffset>
          </wp:positionV>
          <wp:extent cx="661374" cy="6642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374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896416</wp:posOffset>
              </wp:positionH>
              <wp:positionV relativeFrom="page">
                <wp:posOffset>1630933</wp:posOffset>
              </wp:positionV>
              <wp:extent cx="5981065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810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952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81065" y="9144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128.419998pt;width:470.95pt;height:.72pt;mso-position-horizontal-relative:page;mso-position-vertical-relative:page;z-index:-1580339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1831594</wp:posOffset>
              </wp:positionH>
              <wp:positionV relativeFrom="page">
                <wp:posOffset>333158</wp:posOffset>
              </wp:positionV>
              <wp:extent cx="2698750" cy="2406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875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sz w:val="24"/>
                            </w:rPr>
                            <w:t>Behavioral</w:t>
                          </w:r>
                          <w:r>
                            <w:rPr>
                              <w:rFonts w:ascii="Arial Black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4"/>
                            </w:rPr>
                            <w:t>Services,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220001pt;margin-top:26.232969pt;width:212.5pt;height:18.95pt;mso-position-horizontal-relative:page;mso-position-vertical-relative:page;z-index:-1580288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sz w:val="24"/>
                      </w:rPr>
                      <w:t>Behavioral</w:t>
                    </w:r>
                    <w:r>
                      <w:rPr>
                        <w:rFonts w:ascii="Arial Black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z w:val="24"/>
                      </w:rPr>
                      <w:t>Health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z w:val="24"/>
                      </w:rPr>
                      <w:t>Services,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Inc.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902004</wp:posOffset>
              </wp:positionH>
              <wp:positionV relativeFrom="page">
                <wp:posOffset>959062</wp:posOffset>
              </wp:positionV>
              <wp:extent cx="582422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8242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609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Subject:</w:t>
                          </w:r>
                          <w:r>
                            <w:rPr>
                              <w:b/>
                              <w:color w:val="3366FF"/>
                              <w:spacing w:val="5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Detoxification</w:t>
                          </w:r>
                          <w:r>
                            <w:rPr>
                              <w:b/>
                              <w:color w:val="3366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Chemical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Dependency</w:t>
                          </w:r>
                          <w:r>
                            <w:rPr>
                              <w:b/>
                              <w:color w:val="3366FF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Recovery</w:t>
                          </w:r>
                          <w:r>
                            <w:rPr>
                              <w:b/>
                              <w:color w:val="3366FF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2"/>
                            </w:rPr>
                            <w:t>Hospitals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Policy#:</w:t>
                          </w:r>
                          <w:r>
                            <w:rPr>
                              <w:b/>
                              <w:color w:val="3366F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0"/>
                            </w:rPr>
                            <w:t>4.5.14.4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5.516716pt;width:458.6pt;height:15.45pt;mso-position-horizontal-relative:page;mso-position-vertical-relative:page;z-index:-15802368" type="#_x0000_t202" id="docshape3" filled="false" stroked="false">
              <v:textbox inset="0,0,0,0">
                <w:txbxContent>
                  <w:p>
                    <w:pPr>
                      <w:tabs>
                        <w:tab w:pos="7609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66FF"/>
                        <w:sz w:val="24"/>
                      </w:rPr>
                      <w:t>Subject:</w:t>
                    </w:r>
                    <w:r>
                      <w:rPr>
                        <w:b/>
                        <w:color w:val="3366FF"/>
                        <w:spacing w:val="59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</w:rPr>
                      <w:t>Detoxification</w:t>
                    </w:r>
                    <w:r>
                      <w:rPr>
                        <w:b/>
                        <w:color w:val="3366FF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</w:rPr>
                      <w:t>–</w:t>
                    </w:r>
                    <w:r>
                      <w:rPr>
                        <w:b/>
                        <w:color w:val="3366FF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Chemical</w:t>
                    </w:r>
                    <w:r>
                      <w:rPr>
                        <w:b/>
                        <w:color w:val="3366FF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Dependency</w:t>
                    </w:r>
                    <w:r>
                      <w:rPr>
                        <w:b/>
                        <w:color w:val="3366FF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Recovery</w:t>
                    </w:r>
                    <w:r>
                      <w:rPr>
                        <w:b/>
                        <w:color w:val="3366FF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2"/>
                      </w:rPr>
                      <w:t>Hospitals</w:t>
                    </w:r>
                    <w:r>
                      <w:rPr>
                        <w:b/>
                        <w:color w:val="3366FF"/>
                        <w:sz w:val="22"/>
                      </w:rPr>
                      <w:tab/>
                    </w:r>
                    <w:r>
                      <w:rPr>
                        <w:b/>
                        <w:color w:val="3366FF"/>
                        <w:sz w:val="20"/>
                      </w:rPr>
                      <w:t>Policy#:</w:t>
                    </w:r>
                    <w:r>
                      <w:rPr>
                        <w:b/>
                        <w:color w:val="3366FF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0"/>
                      </w:rPr>
                      <w:t>4.5.14.4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902004</wp:posOffset>
              </wp:positionH>
              <wp:positionV relativeFrom="page">
                <wp:posOffset>1210522</wp:posOffset>
              </wp:positionV>
              <wp:extent cx="329247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2924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Title:</w:t>
                          </w:r>
                          <w:r>
                            <w:rPr>
                              <w:b/>
                              <w:color w:val="3366FF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  <w:u w:val="thick" w:color="3366FF"/>
                            </w:rPr>
                            <w:t>Pharmacy</w:t>
                          </w:r>
                          <w:r>
                            <w:rPr>
                              <w:b/>
                              <w:color w:val="3366FF"/>
                              <w:spacing w:val="-16"/>
                              <w:sz w:val="24"/>
                              <w:u w:val="thick" w:color="3366FF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  <w:u w:val="thick" w:color="3366FF"/>
                            </w:rPr>
                            <w:t>and</w:t>
                          </w:r>
                          <w:r>
                            <w:rPr>
                              <w:b/>
                              <w:color w:val="3366FF"/>
                              <w:spacing w:val="-12"/>
                              <w:sz w:val="24"/>
                              <w:u w:val="thick" w:color="3366FF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  <w:u w:val="thick" w:color="3366FF"/>
                            </w:rPr>
                            <w:t>Therapeutics</w:t>
                          </w:r>
                          <w:r>
                            <w:rPr>
                              <w:b/>
                              <w:color w:val="3366FF"/>
                              <w:spacing w:val="-12"/>
                              <w:sz w:val="24"/>
                              <w:u w:val="thick" w:color="3366FF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4"/>
                              <w:u w:val="thick" w:color="3366FF"/>
                            </w:rPr>
                            <w:t>Committee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95.316719pt;width:259.25pt;height:15.45pt;mso-position-horizontal-relative:page;mso-position-vertical-relative:page;z-index:-15801856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366FF"/>
                        <w:sz w:val="24"/>
                      </w:rPr>
                      <w:t>Title:</w:t>
                    </w:r>
                    <w:r>
                      <w:rPr>
                        <w:b/>
                        <w:color w:val="3366FF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  <w:u w:val="thick" w:color="3366FF"/>
                      </w:rPr>
                      <w:t>Pharmacy</w:t>
                    </w:r>
                    <w:r>
                      <w:rPr>
                        <w:b/>
                        <w:color w:val="3366FF"/>
                        <w:spacing w:val="-16"/>
                        <w:sz w:val="24"/>
                        <w:u w:val="thick" w:color="3366FF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  <w:u w:val="thick" w:color="3366FF"/>
                      </w:rPr>
                      <w:t>and</w:t>
                    </w:r>
                    <w:r>
                      <w:rPr>
                        <w:b/>
                        <w:color w:val="3366FF"/>
                        <w:spacing w:val="-12"/>
                        <w:sz w:val="24"/>
                        <w:u w:val="thick" w:color="3366FF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  <w:u w:val="thick" w:color="3366FF"/>
                      </w:rPr>
                      <w:t>Therapeutics</w:t>
                    </w:r>
                    <w:r>
                      <w:rPr>
                        <w:b/>
                        <w:color w:val="3366FF"/>
                        <w:spacing w:val="-12"/>
                        <w:sz w:val="24"/>
                        <w:u w:val="thick" w:color="3366FF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4"/>
                        <w:u w:val="thick" w:color="3366FF"/>
                      </w:rPr>
                      <w:t>Committee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5730621</wp:posOffset>
              </wp:positionH>
              <wp:positionV relativeFrom="page">
                <wp:posOffset>1233976</wp:posOffset>
              </wp:positionV>
              <wp:extent cx="694055" cy="1670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940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3366F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3366FF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230011pt;margin-top:97.163475pt;width:54.65pt;height:13.15pt;mso-position-horizontal-relative:page;mso-position-vertical-relative:page;z-index:-15801344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66FF"/>
                        <w:sz w:val="20"/>
                      </w:rPr>
                      <w:t>Page</w:t>
                    </w:r>
                    <w:r>
                      <w:rPr>
                        <w:b/>
                        <w:color w:val="3366FF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3366FF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3366FF"/>
                        <w:sz w:val="20"/>
                      </w:rPr>
                      <w:t>1</w: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3366FF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z w:val="20"/>
                      </w:rPr>
                      <w:t>of</w:t>
                    </w:r>
                    <w:r>
                      <w:rPr>
                        <w:b/>
                        <w:color w:val="3366FF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118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7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1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9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2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"/>
      <w:lvlJc w:val="left"/>
      <w:pPr>
        <w:ind w:left="407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2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"/>
      <w:lvlJc w:val="left"/>
      <w:pPr>
        <w:ind w:left="794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7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55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8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2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6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1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9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73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"/>
      <w:lvlJc w:val="left"/>
      <w:pPr>
        <w:ind w:left="607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8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428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8" w:hanging="288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ind w:left="720" w:hanging="36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7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42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Supremus Group LLC</dc:creator>
  <cp:keywords>Edited 2013-04-15</cp:keywords>
  <dc:subject>HIPAA Security Policies &amp; Procedures</dc:subject>
  <dc:title>Password Management</dc:title>
  <dcterms:created xsi:type="dcterms:W3CDTF">2025-06-12T23:31:49Z</dcterms:created>
  <dcterms:modified xsi:type="dcterms:W3CDTF">2025-06-12T23:31:49Z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2013</vt:lpwstr>
  </property>
</Properties>
</file>